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2007 51 vom 22. Januar 2008</w:t>
      </w:r>
    </w:p>
    <w:p>
      <w:r>
        <w:t>GR Gerichte, 2008-01-22, DE</w:t>
      </w:r>
    </w:p>
    <w:p>
      <w:r>
        <w:rPr>
          <w:b/>
        </w:rPr>
        <w:t xml:space="preserve">Quelle: </w:t>
      </w:r>
      <w:r>
        <w:t>https://mcp.opencaselaw.ch/entscheid/gr_gerichte_A 2007 51</w:t>
      </w:r>
    </w:p>
    <w:p>
      <w:r>
        <w:t>FR: GR_GERICHTE A 2007 51 du 22 janvier 2008</w:t>
      </w:r>
    </w:p>
    <w:p>
      <w:r>
        <w:t>IT: GR_GERICHTE A 2007 51 del 22 gennaio 2008</w:t>
      </w:r>
    </w:p>
    <w:p>
      <w:pPr>
        <w:pStyle w:val="Heading2"/>
      </w:pPr>
      <w:r>
        <w:t>Erwägungen</w:t>
      </w:r>
    </w:p>
    <w:p>
      <w:r>
        <w:rPr>
          <w:b/>
        </w:rPr>
        <w:t>E. 3</w:t>
      </w:r>
    </w:p>
    <w:p>
      <w:r>
        <w:t>a) Die Steuerverwaltung Graubünden beantragte in ihrer Vernehmlassung die Abweisung der Beschwerde. Sie macht geltend, nach herrschender Lehre und Rechtsprechung gälten auch die so genannten abgekürzten oder temporären Leibrenten steuerrechtlich als Leibrenten und unterlägen - mit Ausnahme von Überbrückungsrenten von kurzer Dauer bis rund 5 Jahre - gestützt auf Art. 23 Abs. 2 StG bzw. Art. 22 Abs. 3 DBG zu 40 % der Einkommensbesteuerung. Dasselbe gelte gemäss bundesgerichtlicher Rechtsprechung für Kapitalzahlungen aus (temporären) Leibrenten. Auch diese unterlägen zu 40 % der Einkommensbesteuerung. Die Besteuerung erfolge dabei schweizweit sowohl für die Kantons- wie auch für die direkte Bundessteuer zusammen mit dem übrigen Einkommen zu dem Satz, der sich ergäbe, wenn an Stelle der einmaligen Leistung eine entsprechende jährliche Leistung ausbezahlt würde, d.h. zum Rentensatz gemäss Art. 40 StG bzw. Art. 37 DBG und nicht - wie von den Beschwerdeführern behauptet - für die direkte Bundessteuer gemäss Art. 38 DBG. Dies ergebe sich auch aufgrund einer Auslegung von Art. 38</w:t>
      </w:r>
    </w:p>
    <w:p>
      <w:r>
        <w:t>Abs. 1 DBG nach dessen Sinn und Zweck sowie aufgrund des Gebots der vertikalen Harmonisierung. Sämtliche vorliegend umstrittenen Zahlungen seien als Leibrenten im genannten Sinn zu qualifizieren. b) Die eidgenössische Steuerverwaltung beantragte ebenfalls mit ähnlicher Argumentation Abweisung der Beschwerde.</w:t>
      </w:r>
    </w:p>
    <w:p>
      <w:r>
        <w:rPr>
          <w:b/>
        </w:rPr>
        <w:t>E. 4</w:t>
      </w:r>
    </w:p>
    <w:p>
      <w:r>
        <w:t>Über die Frage, ob Kapitalleistungen, die anstelle einer Leibrente ausgerichtet werden, zum Rentensatz von 40% gemäss Art. 37 DBG oder gemäss Art. 38 DBG zum privilegierten Tarif von 1/5 zu besteuern seien, herrscht in der Lehre keine Einigkeit. In der Anpassung der Empfehlung des Vorstandes der SSK vom 2./3. April 2003 hielt dieser am 7. März 2006 fest, dass die Kapitalleistung bei Rückkauf einer Leibrentenversicherung - im Unterschied zur Rückgewährleistung im Todesfall - nicht als Kapitalleistung aus Vorsorge zu qualifizieren sei, welche die Anwendung des Vorsorgetarifs (Art. 38 DBG) rechtfertigen würde. Die Kapitalleistung bei Rückkauf sei das Resultat eines vom Versicherungsnehmer zur Auflösung gebrachten Leibrentenversicherungsvertrages, wobei die Kapitalleistung an die Stelle der ansonsten geschuldeten weiteren Rentenleistung trete. Kapitalabfindungen für wiederkehrende zukünftige Leistungen sollen demnach unter Berücksichtigung der übrigen Einkünfte zum Rentensatz erfasst werden (Art. 37 DBG; vgl. Anpassung der Empfehlung des Vorstandes der SSK vom 2./3. April 2003 am 7. März 2006, Loseblattwerk Vorsorge und Steuern - Anwendungsfälle der beruflichen Vorsorge und Selbstvorsorge, 7/3, Cosmos Verlag, Stand Dezember 2006; vgl. auch BGE 2P.166/2004, E. 5.5.5). Wie die Beschwerdegegner dargelegt haben, handelt es sich dabei um eine schweizweit gehandhabte Praxis, die auf einer sachgerechten Auslegung von Art. 38 DBG beruht. Davon abzuweichen besteht kein Anlass. Die Beschwerde ist demnach auch in dieser Hinsicht abzuweisen.</w:t>
      </w:r>
    </w:p>
    <w:p>
      <w:r>
        <w:rPr>
          <w:b/>
        </w:rPr>
        <w:t>E. 5</w:t>
      </w:r>
    </w:p>
    <w:p>
      <w:r>
        <w:t>Bei diesem Ausgang gehen die Verfahrenskosten zulasten der Beschwerdeführer. Demnach erkennt das Gericht:</w:t>
      </w:r>
    </w:p>
    <w:p>
      <w:r>
        <w:t>1. Die Beschwerde wird sowohl hinsichtlich der Kantonssteuer als auch hinsichtlich der direkten Bundessteuer abgewiesen. 2. Die Gerichtskosten, bestehend - aus einer Staatsgebühr von Fr. 6'000.-- - und den Kanzleiauslagen von Fr. 219.-- zusammen Fr. 6'219.-- gehen unter Solidarhaft zulasten von … und … und sind innert 30 Tagen seit Zustellung dieses Entscheides an die Finanzverwaltung des Kantons Graubünden, Chur, zu bezahlen. Die dagegen an das Bundesgericht erhobene Beschwerde wurde am 16. Februar 2009 teilweise gutgeheissen (2C_255/2008).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